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8B886" w14:textId="3CC6939A" w:rsidR="003D030D" w:rsidRDefault="00FF76ED" w:rsidP="004370A3">
      <w:pPr>
        <w:pStyle w:val="Heading1"/>
        <w:spacing w:before="0"/>
        <w:rPr>
          <w:bCs w:val="0"/>
          <w:color w:val="000000" w:themeColor="text1"/>
          <w:sz w:val="20"/>
          <w:szCs w:val="20"/>
        </w:rPr>
      </w:pPr>
      <w:r w:rsidRPr="00B512AC">
        <w:rPr>
          <w:rStyle w:val="Heading2Char"/>
          <w:noProof/>
          <w:sz w:val="64"/>
          <w:szCs w:val="64"/>
          <w:lang w:eastAsia="en-AU"/>
        </w:rPr>
        <w:drawing>
          <wp:anchor distT="0" distB="0" distL="114300" distR="114300" simplePos="0" relativeHeight="251658242" behindDoc="0" locked="0" layoutInCell="1" allowOverlap="1" wp14:anchorId="7963410D" wp14:editId="291942F4">
            <wp:simplePos x="0" y="0"/>
            <wp:positionH relativeFrom="margin">
              <wp:align>right</wp:align>
            </wp:positionH>
            <wp:positionV relativeFrom="page">
              <wp:posOffset>967105</wp:posOffset>
            </wp:positionV>
            <wp:extent cx="1476375" cy="1549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54976"/>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Cs w:val="0"/>
          <w:color w:val="000000" w:themeColor="text1"/>
          <w:sz w:val="20"/>
          <w:szCs w:val="20"/>
        </w:rPr>
        <w:id w:val="-1649280474"/>
        <w:docPartObj>
          <w:docPartGallery w:val="Cover Pages"/>
          <w:docPartUnique/>
        </w:docPartObj>
      </w:sdtPr>
      <w:sdtEndPr>
        <w:rPr>
          <w:b/>
        </w:rPr>
      </w:sdtEndPr>
      <w:sdtContent>
        <w:p w14:paraId="69EEC543" w14:textId="615CB632" w:rsidR="004370A3" w:rsidRPr="00B512AC" w:rsidRDefault="003A58AB" w:rsidP="00BD1B4A">
          <w:pPr>
            <w:pStyle w:val="Heading1"/>
            <w:spacing w:before="0" w:after="600"/>
            <w:rPr>
              <w:sz w:val="64"/>
              <w:szCs w:val="64"/>
            </w:rPr>
          </w:pPr>
          <w:r w:rsidRPr="00B512AC">
            <w:rPr>
              <w:rStyle w:val="Heading2Char"/>
              <w:noProof/>
              <w:sz w:val="64"/>
              <w:szCs w:val="64"/>
              <w:lang w:eastAsia="en-AU"/>
            </w:rPr>
            <w:drawing>
              <wp:anchor distT="0" distB="0" distL="114300" distR="114300" simplePos="0" relativeHeight="251658240" behindDoc="0" locked="0" layoutInCell="1" allowOverlap="1" wp14:anchorId="491653CB" wp14:editId="5BA67F5D">
                <wp:simplePos x="0" y="0"/>
                <wp:positionH relativeFrom="column">
                  <wp:posOffset>-628015</wp:posOffset>
                </wp:positionH>
                <wp:positionV relativeFrom="paragraph">
                  <wp:posOffset>-1209040</wp:posOffset>
                </wp:positionV>
                <wp:extent cx="7533640" cy="130619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over - Large Bann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3640" cy="1306195"/>
                        </a:xfrm>
                        <a:prstGeom prst="rect">
                          <a:avLst/>
                        </a:prstGeom>
                      </pic:spPr>
                    </pic:pic>
                  </a:graphicData>
                </a:graphic>
                <wp14:sizeRelH relativeFrom="margin">
                  <wp14:pctWidth>0</wp14:pctWidth>
                </wp14:sizeRelH>
                <wp14:sizeRelV relativeFrom="margin">
                  <wp14:pctHeight>0</wp14:pctHeight>
                </wp14:sizeRelV>
              </wp:anchor>
            </w:drawing>
          </w:r>
          <w:r w:rsidRPr="00B512AC">
            <w:rPr>
              <w:rStyle w:val="Heading2Char"/>
              <w:noProof/>
              <w:sz w:val="64"/>
              <w:szCs w:val="64"/>
              <w:lang w:eastAsia="en-AU"/>
            </w:rPr>
            <w:drawing>
              <wp:anchor distT="0" distB="0" distL="114300" distR="114300" simplePos="0" relativeHeight="251658241" behindDoc="0" locked="0" layoutInCell="1" allowOverlap="1" wp14:anchorId="2F803855" wp14:editId="79EDEDE1">
                <wp:simplePos x="0" y="0"/>
                <wp:positionH relativeFrom="margin">
                  <wp:posOffset>-118110</wp:posOffset>
                </wp:positionH>
                <wp:positionV relativeFrom="paragraph">
                  <wp:posOffset>-1042670</wp:posOffset>
                </wp:positionV>
                <wp:extent cx="2857500" cy="823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A3" w:rsidRPr="00B512AC">
            <w:rPr>
              <w:noProof/>
              <w:sz w:val="64"/>
              <w:szCs w:val="64"/>
              <w:lang w:eastAsia="en-AU"/>
            </w:rPr>
            <w:drawing>
              <wp:anchor distT="0" distB="0" distL="114300" distR="114300" simplePos="0" relativeHeight="251658243" behindDoc="1" locked="1" layoutInCell="1" allowOverlap="1" wp14:anchorId="2867CFC3" wp14:editId="319A2CBB">
                <wp:simplePos x="0" y="0"/>
                <wp:positionH relativeFrom="page">
                  <wp:posOffset>720090</wp:posOffset>
                </wp:positionH>
                <wp:positionV relativeFrom="page">
                  <wp:posOffset>504190</wp:posOffset>
                </wp:positionV>
                <wp:extent cx="3178800" cy="504000"/>
                <wp:effectExtent l="0" t="0" r="3175"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ATIC_Asset 2.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178800" cy="504000"/>
                        </a:xfrm>
                        <a:prstGeom prst="rect">
                          <a:avLst/>
                        </a:prstGeom>
                      </pic:spPr>
                    </pic:pic>
                  </a:graphicData>
                </a:graphic>
                <wp14:sizeRelH relativeFrom="margin">
                  <wp14:pctWidth>0</wp14:pctWidth>
                </wp14:sizeRelH>
                <wp14:sizeRelV relativeFrom="margin">
                  <wp14:pctHeight>0</wp14:pctHeight>
                </wp14:sizeRelV>
              </wp:anchor>
            </w:drawing>
          </w:r>
          <w:r w:rsidR="004370A3" w:rsidRPr="00B512AC">
            <w:rPr>
              <w:sz w:val="64"/>
              <w:szCs w:val="64"/>
            </w:rPr>
            <w:t>THRIVE 2030 Implementation Advisory Group (TIAG)</w:t>
          </w:r>
        </w:p>
        <w:p w14:paraId="7CE22699" w14:textId="40EAA5D9" w:rsidR="004370A3" w:rsidRPr="004370A3" w:rsidRDefault="00250D0F" w:rsidP="00BD1B4A">
          <w:pPr>
            <w:pStyle w:val="Title"/>
            <w:spacing w:before="200"/>
          </w:pPr>
          <w:r>
            <w:t>Summary</w:t>
          </w:r>
          <w:r w:rsidR="004370A3">
            <w:t xml:space="preserve"> of Meeting – 5 </w:t>
          </w:r>
          <w:r w:rsidR="00734FF5">
            <w:t>August</w:t>
          </w:r>
          <w:r w:rsidR="004370A3">
            <w:t xml:space="preserve"> 2022</w:t>
          </w:r>
        </w:p>
        <w:p w14:paraId="0236CC50" w14:textId="5CC730EE" w:rsidR="0010667E" w:rsidRDefault="007A421C" w:rsidP="004370A3">
          <w:pPr>
            <w:spacing w:after="0"/>
          </w:pPr>
          <w:r w:rsidRPr="003D030D">
            <w:rPr>
              <w:bCs/>
              <w:noProof/>
            </w:rPr>
            <mc:AlternateContent>
              <mc:Choice Requires="wps">
                <w:drawing>
                  <wp:anchor distT="45720" distB="45720" distL="114300" distR="114300" simplePos="0" relativeHeight="251658244" behindDoc="0" locked="0" layoutInCell="1" allowOverlap="1" wp14:anchorId="6D261B5C" wp14:editId="0C3DBB2F">
                    <wp:simplePos x="0" y="0"/>
                    <wp:positionH relativeFrom="margin">
                      <wp:align>right</wp:align>
                    </wp:positionH>
                    <wp:positionV relativeFrom="paragraph">
                      <wp:posOffset>279400</wp:posOffset>
                    </wp:positionV>
                    <wp:extent cx="2774950" cy="19748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974850"/>
                            </a:xfrm>
                            <a:prstGeom prst="rect">
                              <a:avLst/>
                            </a:prstGeom>
                            <a:solidFill>
                              <a:srgbClr val="FFFFFF"/>
                            </a:solidFill>
                            <a:ln w="9525">
                              <a:solidFill>
                                <a:schemeClr val="bg1"/>
                              </a:solidFill>
                              <a:miter lim="800000"/>
                              <a:headEnd/>
                              <a:tailEnd/>
                            </a:ln>
                          </wps:spPr>
                          <wps:txbx>
                            <w:txbxContent>
                              <w:p w14:paraId="07BE7C08" w14:textId="154FFB8C" w:rsidR="007A421C" w:rsidRDefault="007A421C"/>
                              <w:p w14:paraId="1F8ACB0C" w14:textId="325F0DB4" w:rsidR="00DD7AE4" w:rsidRDefault="00DD7AE4"/>
                              <w:p w14:paraId="55FDE308" w14:textId="07FB98A7" w:rsidR="00DD7AE4" w:rsidRDefault="00DD7AE4"/>
                              <w:p w14:paraId="5A1C03FA" w14:textId="7FD16855" w:rsidR="00DD7AE4" w:rsidRDefault="00DD7AE4"/>
                              <w:p w14:paraId="1F9C6EE8" w14:textId="4F576EA8" w:rsidR="00DD7AE4" w:rsidRDefault="00DD7AE4"/>
                              <w:p w14:paraId="09A95758" w14:textId="75ED329A" w:rsidR="00DD7AE4" w:rsidRDefault="00DD7AE4">
                                <w:r>
                                  <w:rPr>
                                    <w:noProof/>
                                  </w:rPr>
                                  <w:drawing>
                                    <wp:inline distT="0" distB="0" distL="0" distR="0" wp14:anchorId="7A4682A4" wp14:editId="48852170">
                                      <wp:extent cx="2603500" cy="2305050"/>
                                      <wp:effectExtent l="0" t="0" r="6350" b="0"/>
                                      <wp:docPr id="1" name="Picture 1"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meetin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2305050"/>
                                              </a:xfrm>
                                              <a:prstGeom prst="rect">
                                                <a:avLst/>
                                              </a:prstGeom>
                                              <a:noFill/>
                                              <a:ln>
                                                <a:noFill/>
                                              </a:ln>
                                            </pic:spPr>
                                          </pic:pic>
                                        </a:graphicData>
                                      </a:graphic>
                                    </wp:inline>
                                  </w:drawing>
                                </w:r>
                              </w:p>
                              <w:p w14:paraId="27BB3F46" w14:textId="77777777" w:rsidR="00883DEA" w:rsidRDefault="00883DEA"/>
                              <w:p w14:paraId="2B8BAED0" w14:textId="77777777" w:rsidR="00DD7AE4" w:rsidRDefault="00DD7AE4"/>
                              <w:p w14:paraId="6DA1FDA7" w14:textId="7A8CD3D8" w:rsidR="00DD7AE4" w:rsidRDefault="00DD7AE4"/>
                              <w:p w14:paraId="07A80021" w14:textId="5319B2CD" w:rsidR="00DD7AE4" w:rsidRDefault="00DD7AE4"/>
                              <w:p w14:paraId="1BED40E3" w14:textId="41199C28" w:rsidR="00DD7AE4" w:rsidRDefault="00DD7AE4"/>
                              <w:p w14:paraId="0E886F78" w14:textId="23290644" w:rsidR="00A7204C" w:rsidRDefault="00A72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61B5C" id="_x0000_t202" coordsize="21600,21600" o:spt="202" path="m,l,21600r21600,l21600,xe">
                    <v:stroke joinstyle="miter"/>
                    <v:path gradientshapeok="t" o:connecttype="rect"/>
                  </v:shapetype>
                  <v:shape id="Text Box 2" o:spid="_x0000_s1026" type="#_x0000_t202" style="position:absolute;margin-left:167.3pt;margin-top:22pt;width:218.5pt;height:155.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" strokecolor="white [3212]">
                    <v:textbox>
                      <w:txbxContent>
                        <w:p w14:paraId="07BE7C08" w14:textId="154FFB8C" w:rsidR="007A421C" w:rsidRDefault="007A421C"/>
                        <w:p w14:paraId="1F8ACB0C" w14:textId="325F0DB4" w:rsidR="00DD7AE4" w:rsidRDefault="00DD7AE4"/>
                        <w:p w14:paraId="55FDE308" w14:textId="07FB98A7" w:rsidR="00DD7AE4" w:rsidRDefault="00DD7AE4"/>
                        <w:p w14:paraId="5A1C03FA" w14:textId="7FD16855" w:rsidR="00DD7AE4" w:rsidRDefault="00DD7AE4"/>
                        <w:p w14:paraId="1F9C6EE8" w14:textId="4F576EA8" w:rsidR="00DD7AE4" w:rsidRDefault="00DD7AE4"/>
                        <w:p w14:paraId="09A95758" w14:textId="75ED329A" w:rsidR="00DD7AE4" w:rsidRDefault="00DD7AE4">
                          <w:r>
                            <w:rPr>
                              <w:noProof/>
                            </w:rPr>
                            <w:drawing>
                              <wp:inline distT="0" distB="0" distL="0" distR="0" wp14:anchorId="7A4682A4" wp14:editId="48852170">
                                <wp:extent cx="2603500" cy="2305050"/>
                                <wp:effectExtent l="0" t="0" r="6350" b="0"/>
                                <wp:docPr id="1" name="Picture 1"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meetin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2305050"/>
                                        </a:xfrm>
                                        <a:prstGeom prst="rect">
                                          <a:avLst/>
                                        </a:prstGeom>
                                        <a:noFill/>
                                        <a:ln>
                                          <a:noFill/>
                                        </a:ln>
                                      </pic:spPr>
                                    </pic:pic>
                                  </a:graphicData>
                                </a:graphic>
                              </wp:inline>
                            </w:drawing>
                          </w:r>
                        </w:p>
                        <w:p w14:paraId="27BB3F46" w14:textId="77777777" w:rsidR="00883DEA" w:rsidRDefault="00883DEA"/>
                        <w:p w14:paraId="2B8BAED0" w14:textId="77777777" w:rsidR="00DD7AE4" w:rsidRDefault="00DD7AE4"/>
                        <w:p w14:paraId="6DA1FDA7" w14:textId="7A8CD3D8" w:rsidR="00DD7AE4" w:rsidRDefault="00DD7AE4"/>
                        <w:p w14:paraId="07A80021" w14:textId="5319B2CD" w:rsidR="00DD7AE4" w:rsidRDefault="00DD7AE4"/>
                        <w:p w14:paraId="1BED40E3" w14:textId="41199C28" w:rsidR="00DD7AE4" w:rsidRDefault="00DD7AE4"/>
                        <w:p w14:paraId="0E886F78" w14:textId="23290644" w:rsidR="00A7204C" w:rsidRDefault="00A7204C"/>
                      </w:txbxContent>
                    </v:textbox>
                    <w10:wrap type="square" anchorx="margin"/>
                  </v:shape>
                </w:pict>
              </mc:Fallback>
            </mc:AlternateContent>
          </w:r>
          <w:r w:rsidR="004370A3">
            <w:t xml:space="preserve">The </w:t>
          </w:r>
          <w:r w:rsidR="00734FF5">
            <w:t>second</w:t>
          </w:r>
          <w:r w:rsidR="004370A3">
            <w:t xml:space="preserve"> meeting of the THRIVE 2030 Implementation Advisory Group (TIAG) was held in </w:t>
          </w:r>
          <w:r w:rsidR="00734FF5">
            <w:t>Canberra</w:t>
          </w:r>
          <w:r w:rsidR="004370A3">
            <w:t xml:space="preserve"> on 5 </w:t>
          </w:r>
          <w:r w:rsidR="00734FF5">
            <w:t>August</w:t>
          </w:r>
          <w:r w:rsidR="004370A3">
            <w:t xml:space="preserve"> 2022. The Chair acknowledged traditional custodians</w:t>
          </w:r>
          <w:r w:rsidR="00406B0E">
            <w:t xml:space="preserve"> and thanked the</w:t>
          </w:r>
          <w:r w:rsidR="0010667E">
            <w:t xml:space="preserve"> </w:t>
          </w:r>
          <w:r w:rsidR="00406B0E">
            <w:t xml:space="preserve">Minister for </w:t>
          </w:r>
          <w:r w:rsidR="0010667E">
            <w:t>Trade and Tourism, Senator the Hon Don Farrell</w:t>
          </w:r>
          <w:r w:rsidR="009633D7">
            <w:t>,</w:t>
          </w:r>
          <w:r w:rsidR="0010667E">
            <w:t xml:space="preserve"> for attending the meeting.</w:t>
          </w:r>
          <w:r w:rsidR="00D124E8">
            <w:t xml:space="preserve"> </w:t>
          </w:r>
        </w:p>
        <w:p w14:paraId="751D9F43" w14:textId="4F920C4E" w:rsidR="00D41B26" w:rsidRDefault="004370A3" w:rsidP="004370A3">
          <w:pPr>
            <w:spacing w:after="0"/>
          </w:pPr>
          <w:r>
            <w:t xml:space="preserve">Members briefly introduced themselves and </w:t>
          </w:r>
          <w:r w:rsidR="00013FCE">
            <w:t>their background in the visitor economy</w:t>
          </w:r>
          <w:r w:rsidR="00AB6863">
            <w:t xml:space="preserve">. </w:t>
          </w:r>
        </w:p>
        <w:p w14:paraId="6A6F0D10" w14:textId="02BE1FA7" w:rsidR="00BD1B4A" w:rsidRDefault="000D431E" w:rsidP="004370A3">
          <w:pPr>
            <w:spacing w:after="0"/>
          </w:pPr>
          <w:r>
            <w:t>As</w:t>
          </w:r>
          <w:r w:rsidR="00AB6863">
            <w:t xml:space="preserve"> TIAG’s role </w:t>
          </w:r>
          <w:r>
            <w:t xml:space="preserve">is to </w:t>
          </w:r>
          <w:r w:rsidR="00AB6863">
            <w:t>support</w:t>
          </w:r>
          <w:r>
            <w:t xml:space="preserve"> </w:t>
          </w:r>
          <w:r w:rsidR="00AB6863">
            <w:t>and monitor implementation</w:t>
          </w:r>
          <w:r w:rsidR="00FE0907">
            <w:t xml:space="preserve"> </w:t>
          </w:r>
          <w:r>
            <w:t>of the THRIVE 2030 strategy</w:t>
          </w:r>
          <w:r w:rsidR="00780E3A">
            <w:t>,</w:t>
          </w:r>
          <w:r>
            <w:t xml:space="preserve"> </w:t>
          </w:r>
          <w:r w:rsidR="00780E3A">
            <w:t xml:space="preserve">members </w:t>
          </w:r>
          <w:r w:rsidR="00296B4E">
            <w:t>outlined key areas of opportunity</w:t>
          </w:r>
          <w:r w:rsidR="00D41B26">
            <w:t xml:space="preserve"> and </w:t>
          </w:r>
          <w:r w:rsidR="001B1FAE">
            <w:t>priorities</w:t>
          </w:r>
          <w:r w:rsidR="008169E7">
            <w:t xml:space="preserve"> to the new Minister for Trade and Tourism</w:t>
          </w:r>
          <w:r w:rsidR="001B1FAE">
            <w:t xml:space="preserve">. </w:t>
          </w:r>
        </w:p>
        <w:p w14:paraId="3E222D20" w14:textId="487B3C42" w:rsidR="004370A3" w:rsidRPr="0035754D" w:rsidRDefault="004370A3" w:rsidP="004370A3">
          <w:pPr>
            <w:spacing w:after="0"/>
          </w:pPr>
          <w:r>
            <w:t xml:space="preserve">The following themes emerged from the discussion: </w:t>
          </w:r>
        </w:p>
        <w:p w14:paraId="44A3F446" w14:textId="4B83AFAA" w:rsidR="00C153AB" w:rsidRPr="002A7B7E" w:rsidRDefault="00C153AB" w:rsidP="00BD1B4A">
          <w:pPr>
            <w:pStyle w:val="Heading3"/>
            <w:spacing w:before="560"/>
          </w:pPr>
          <w:r>
            <w:t>Su</w:t>
          </w:r>
          <w:r w:rsidRPr="002A7B7E">
            <w:t>pport</w:t>
          </w:r>
          <w:r>
            <w:t xml:space="preserve"> for the visitor economy and THRIVE 2030</w:t>
          </w:r>
        </w:p>
        <w:p w14:paraId="60DF047C" w14:textId="77777777" w:rsidR="00C153AB" w:rsidRDefault="00C153AB" w:rsidP="00C153AB">
          <w:pPr>
            <w:spacing w:after="0"/>
          </w:pPr>
          <w:r>
            <w:t xml:space="preserve">The Minister thanked TIAG Members for their support of THRIVE 2030 and reiterated the importance of working collaboratively to achieve the objectives of the Strategy during the Recovery Phase: 2022-2024. </w:t>
          </w:r>
        </w:p>
        <w:p w14:paraId="46D55FE6" w14:textId="77777777" w:rsidR="007E0F32" w:rsidRDefault="007E0F32" w:rsidP="00BD1B4A">
          <w:pPr>
            <w:pStyle w:val="Heading3"/>
            <w:spacing w:before="560"/>
          </w:pPr>
          <w:r w:rsidRPr="00660898">
            <w:t>Galvanising</w:t>
          </w:r>
          <w:r>
            <w:t xml:space="preserve"> industry support to implement THRIVE 2030</w:t>
          </w:r>
        </w:p>
        <w:p w14:paraId="02CCC9E8" w14:textId="617B8469" w:rsidR="007E0F32" w:rsidRDefault="007E0F32" w:rsidP="007E0F32">
          <w:pPr>
            <w:spacing w:after="0"/>
          </w:pPr>
          <w:r>
            <w:t xml:space="preserve">With THRIVE 2030 being an industry-led, government-enabled strategy, the group </w:t>
          </w:r>
          <w:r w:rsidR="00C153AB">
            <w:t xml:space="preserve">noted </w:t>
          </w:r>
          <w:r>
            <w:t xml:space="preserve">the importance of Australia’s tourism industry viewing the visitor economy with fresh eyes and adapting to the post-COVID environment </w:t>
          </w:r>
          <w:proofErr w:type="gramStart"/>
          <w:r>
            <w:t>in order to</w:t>
          </w:r>
          <w:proofErr w:type="gramEnd"/>
          <w:r>
            <w:t xml:space="preserve"> drive THRIVE 2030’s implementation. Beyond Industry’s own efforts, to successfully deliver the THRIVE 2030 objectives, it was also noted that the efforts of State and Territory Governments, together with whole-of-government Commonwealth efforts, would be essential. </w:t>
          </w:r>
        </w:p>
        <w:p w14:paraId="5A9394C6" w14:textId="77777777" w:rsidR="00BD1B4A" w:rsidRDefault="00BD1B4A" w:rsidP="007E0F32">
          <w:pPr>
            <w:spacing w:after="0"/>
          </w:pPr>
        </w:p>
        <w:p w14:paraId="08EBD21A" w14:textId="77777777" w:rsidR="003C5A61" w:rsidRDefault="003C5A61" w:rsidP="00BD1B4A">
          <w:pPr>
            <w:pStyle w:val="Heading3"/>
            <w:spacing w:before="520"/>
          </w:pPr>
          <w:r>
            <w:lastRenderedPageBreak/>
            <w:t>Australia is a unique and world class destination</w:t>
          </w:r>
        </w:p>
        <w:p w14:paraId="59E7F61A" w14:textId="621B8562" w:rsidR="003C5A61" w:rsidRDefault="003C5A61" w:rsidP="003C5A61">
          <w:pPr>
            <w:spacing w:after="0"/>
          </w:pPr>
          <w:r>
            <w:t>The group noted Australia’s unique offerings, particularly Indigenous tourism, and the integral role it plays in attracting international travellers to this country. Many members are developing Indigenous strategies as this is a key focus for the future of the Australian visitor economy landscape. As envisaged in THRIVE 2030, it was acknowledged that a more coordinated approach across</w:t>
          </w:r>
          <w:r w:rsidR="00D426A1">
            <w:t xml:space="preserve"> the Commonwealth,</w:t>
          </w:r>
          <w:r>
            <w:t xml:space="preserve"> States and Territories to deliver a consistent product in the future would be useful. </w:t>
          </w:r>
        </w:p>
        <w:p w14:paraId="255ED50D" w14:textId="77777777" w:rsidR="004370A3" w:rsidRDefault="004370A3" w:rsidP="00BD1B4A">
          <w:pPr>
            <w:pStyle w:val="Heading3"/>
            <w:spacing w:before="440"/>
          </w:pPr>
          <w:r>
            <w:t>Workforce shortages</w:t>
          </w:r>
        </w:p>
        <w:p w14:paraId="5FB5138A" w14:textId="35BB7D54" w:rsidR="008D7075" w:rsidRDefault="004370A3" w:rsidP="004370A3">
          <w:pPr>
            <w:spacing w:after="0"/>
          </w:pPr>
          <w:r>
            <w:t xml:space="preserve">Members </w:t>
          </w:r>
          <w:r w:rsidR="0092232C">
            <w:t>r</w:t>
          </w:r>
          <w:r w:rsidR="0055644D">
            <w:t xml:space="preserve">aised </w:t>
          </w:r>
          <w:r>
            <w:t xml:space="preserve">workforce shortages </w:t>
          </w:r>
          <w:r w:rsidR="0092232C">
            <w:t xml:space="preserve">as the </w:t>
          </w:r>
          <w:r>
            <w:t>most significant challenge in the visitor economy</w:t>
          </w:r>
          <w:r w:rsidR="00243765">
            <w:t xml:space="preserve">. It was noted as a complex issue that existed pre-COVID, and </w:t>
          </w:r>
          <w:r w:rsidR="009B1CAF">
            <w:t>involved</w:t>
          </w:r>
          <w:r w:rsidR="008D7075">
            <w:t>:</w:t>
          </w:r>
        </w:p>
        <w:p w14:paraId="5B90677C" w14:textId="21C8341B" w:rsidR="008D7075" w:rsidRDefault="00243765" w:rsidP="00BD1B4A">
          <w:pPr>
            <w:pStyle w:val="ListParagraph"/>
            <w:numPr>
              <w:ilvl w:val="0"/>
              <w:numId w:val="8"/>
            </w:numPr>
            <w:spacing w:before="120" w:after="0"/>
            <w:ind w:left="714" w:hanging="357"/>
          </w:pPr>
          <w:r>
            <w:t>a</w:t>
          </w:r>
          <w:r w:rsidR="008D7075">
            <w:t xml:space="preserve"> lack of confidence in</w:t>
          </w:r>
          <w:r w:rsidR="009B1CAF">
            <w:t xml:space="preserve"> job security in roles in </w:t>
          </w:r>
          <w:r w:rsidR="008D7075">
            <w:t>the visitor economy (especially since COVID)</w:t>
          </w:r>
          <w:r w:rsidR="009B1CAF">
            <w:t>, that made</w:t>
          </w:r>
          <w:r w:rsidR="008D7075">
            <w:t xml:space="preserve"> it difficult to attract employees;</w:t>
          </w:r>
        </w:p>
        <w:p w14:paraId="4DDEE2A7" w14:textId="3B8FDBB9" w:rsidR="008D7075" w:rsidRDefault="008D7075" w:rsidP="008D7075">
          <w:pPr>
            <w:pStyle w:val="ListParagraph"/>
            <w:numPr>
              <w:ilvl w:val="0"/>
              <w:numId w:val="8"/>
            </w:numPr>
            <w:spacing w:after="0"/>
          </w:pPr>
          <w:r>
            <w:t>the opportunities associated with unlocking existing barriers and reducing red tape that currently prevent</w:t>
          </w:r>
          <w:r w:rsidR="009B1CAF">
            <w:t>ed</w:t>
          </w:r>
          <w:r>
            <w:t xml:space="preserve"> more hiring of mature-age benefit recipients;</w:t>
          </w:r>
        </w:p>
        <w:p w14:paraId="7AA9FC01" w14:textId="3E9A427D" w:rsidR="008D7075" w:rsidRDefault="009B1CAF" w:rsidP="008D7075">
          <w:pPr>
            <w:pStyle w:val="ListParagraph"/>
            <w:numPr>
              <w:ilvl w:val="0"/>
              <w:numId w:val="8"/>
            </w:numPr>
            <w:spacing w:after="0"/>
          </w:pPr>
          <w:r>
            <w:t xml:space="preserve">the need for </w:t>
          </w:r>
          <w:r w:rsidR="008D7075">
            <w:t xml:space="preserve">greater flexibility </w:t>
          </w:r>
          <w:r>
            <w:t xml:space="preserve">for </w:t>
          </w:r>
          <w:r w:rsidR="008D7075">
            <w:t>training in the sector</w:t>
          </w:r>
          <w:r>
            <w:t xml:space="preserve">, including </w:t>
          </w:r>
          <w:r w:rsidR="008D7075">
            <w:t>recognition of relevant training across State and Territor</w:t>
          </w:r>
          <w:r w:rsidR="00F822DD">
            <w:t>y jurisdictions and consideration of support for the work businesses undertaken to train staff;</w:t>
          </w:r>
        </w:p>
        <w:p w14:paraId="66359C4F" w14:textId="77777777" w:rsidR="008D7075" w:rsidRDefault="008D7075" w:rsidP="008D7075">
          <w:pPr>
            <w:pStyle w:val="ListParagraph"/>
            <w:numPr>
              <w:ilvl w:val="0"/>
              <w:numId w:val="8"/>
            </w:numPr>
            <w:spacing w:after="0"/>
          </w:pPr>
          <w:r>
            <w:t>the need to incentivise and re-attract working holidaymakers and students back into the visitor economy sector.</w:t>
          </w:r>
        </w:p>
        <w:p w14:paraId="31BA7CE9" w14:textId="3583E88A" w:rsidR="008D7075" w:rsidRDefault="00F822DD" w:rsidP="008D7075">
          <w:pPr>
            <w:spacing w:after="0"/>
          </w:pPr>
          <w:r>
            <w:t>W</w:t>
          </w:r>
          <w:r w:rsidR="008D7075">
            <w:t xml:space="preserve">orkforce shortages </w:t>
          </w:r>
          <w:r>
            <w:t>were</w:t>
          </w:r>
          <w:r w:rsidR="008D7075">
            <w:t xml:space="preserve"> even more apparent in regional and remote Australia, where housing supply further compound</w:t>
          </w:r>
          <w:r>
            <w:t>ed</w:t>
          </w:r>
          <w:r w:rsidR="008D7075">
            <w:t xml:space="preserve"> this issue.</w:t>
          </w:r>
        </w:p>
        <w:p w14:paraId="66A2D60C" w14:textId="410BE7A1" w:rsidR="00A44FDC" w:rsidRDefault="000F3710" w:rsidP="538B5109">
          <w:pPr>
            <w:spacing w:after="0"/>
          </w:pPr>
          <w:r>
            <w:t xml:space="preserve">The Minister also </w:t>
          </w:r>
          <w:r w:rsidR="00F822DD">
            <w:t xml:space="preserve">noted </w:t>
          </w:r>
          <w:r>
            <w:t xml:space="preserve">the Jobs </w:t>
          </w:r>
          <w:r w:rsidR="00651CA0">
            <w:t xml:space="preserve">and Skills </w:t>
          </w:r>
          <w:r>
            <w:t>Summit</w:t>
          </w:r>
          <w:r w:rsidR="008A56EA">
            <w:t xml:space="preserve"> to be convened on 1-2 September 2022 w</w:t>
          </w:r>
          <w:r w:rsidR="00973D01">
            <w:t>ould</w:t>
          </w:r>
          <w:r w:rsidR="008A56EA">
            <w:t xml:space="preserve"> assist in identifying </w:t>
          </w:r>
          <w:r w:rsidR="001D45BF">
            <w:t xml:space="preserve">pathways </w:t>
          </w:r>
          <w:r w:rsidR="00973D01">
            <w:t xml:space="preserve">to </w:t>
          </w:r>
          <w:r w:rsidR="006B081A">
            <w:t xml:space="preserve">address </w:t>
          </w:r>
          <w:r w:rsidR="001D45BF">
            <w:t>these issues</w:t>
          </w:r>
          <w:r w:rsidR="00973D01">
            <w:t>.</w:t>
          </w:r>
          <w:r w:rsidR="001D45BF">
            <w:t xml:space="preserve"> </w:t>
          </w:r>
          <w:r w:rsidR="00E36B4F">
            <w:t xml:space="preserve">Addressing the problem would require </w:t>
          </w:r>
          <w:r w:rsidR="00947DFE">
            <w:t xml:space="preserve">a </w:t>
          </w:r>
          <w:r w:rsidR="001D45BF">
            <w:t xml:space="preserve">collaborative </w:t>
          </w:r>
          <w:r w:rsidR="004477B4">
            <w:t>approach</w:t>
          </w:r>
          <w:r w:rsidR="00947DFE">
            <w:t xml:space="preserve"> across Industry, </w:t>
          </w:r>
          <w:r w:rsidR="00E36B4F">
            <w:t xml:space="preserve">the Commonwealth </w:t>
          </w:r>
          <w:r w:rsidR="00947DFE">
            <w:t>and the States and Territory Governments</w:t>
          </w:r>
          <w:r w:rsidR="538B5109">
            <w:t xml:space="preserve"> with the work already being addressed by the THRIVE 2030 Workforce and Skills Working Group</w:t>
          </w:r>
          <w:r w:rsidR="004477B4">
            <w:t xml:space="preserve">.  </w:t>
          </w:r>
          <w:r w:rsidR="00F822DD">
            <w:t>A</w:t>
          </w:r>
          <w:r w:rsidR="0063779B">
            <w:t xml:space="preserve"> Tourism </w:t>
          </w:r>
          <w:r w:rsidR="00E36B4F">
            <w:t xml:space="preserve">Jobs </w:t>
          </w:r>
          <w:r w:rsidR="0063779B">
            <w:t xml:space="preserve">Summit </w:t>
          </w:r>
          <w:r w:rsidR="00E36B4F">
            <w:t xml:space="preserve">would be </w:t>
          </w:r>
          <w:r w:rsidR="00BD19C4">
            <w:t xml:space="preserve">hosted by the Minister for Trade and Tourism </w:t>
          </w:r>
          <w:r w:rsidR="0063779B">
            <w:t>on 30 August 2022</w:t>
          </w:r>
          <w:r w:rsidR="00DB18FE">
            <w:t xml:space="preserve"> </w:t>
          </w:r>
          <w:r w:rsidR="00BD19C4">
            <w:t xml:space="preserve">to enable </w:t>
          </w:r>
          <w:proofErr w:type="gramStart"/>
          <w:r w:rsidR="00BD19C4">
            <w:t>tourism‘</w:t>
          </w:r>
          <w:proofErr w:type="gramEnd"/>
          <w:r w:rsidR="00BD19C4">
            <w:t>s priorities to address workforce shortages to be mapped and provided for the main Jobs Summit and also the THRIVE workforce strategy.</w:t>
          </w:r>
        </w:p>
        <w:p w14:paraId="5CD2430F" w14:textId="508F805A" w:rsidR="00796260" w:rsidRDefault="00796260" w:rsidP="00BD1B4A">
          <w:pPr>
            <w:pStyle w:val="Heading3"/>
            <w:spacing w:before="440"/>
          </w:pPr>
          <w:r>
            <w:t>Aviation</w:t>
          </w:r>
        </w:p>
        <w:p w14:paraId="00C8DFF8" w14:textId="00D45D3F" w:rsidR="00796260" w:rsidRDefault="00796260" w:rsidP="00796260">
          <w:r>
            <w:t>Members highlighted aviation capacity, both domestic and international, as an issue for the visitor econom</w:t>
          </w:r>
          <w:r w:rsidR="00A53A4C">
            <w:t xml:space="preserve">y. There was an urgent need </w:t>
          </w:r>
          <w:r w:rsidR="00F93EA6">
            <w:t xml:space="preserve">to build capacity </w:t>
          </w:r>
          <w:r w:rsidR="00DF57F4">
            <w:t xml:space="preserve">back </w:t>
          </w:r>
          <w:r w:rsidR="00F93EA6">
            <w:t>to pre-COVID levels</w:t>
          </w:r>
          <w:r w:rsidR="004025EB">
            <w:t>, including by addressing workforce shortages</w:t>
          </w:r>
          <w:r w:rsidR="00F93EA6">
            <w:t xml:space="preserve">. </w:t>
          </w:r>
        </w:p>
        <w:p w14:paraId="578FBA28" w14:textId="5D19DBD9" w:rsidR="006514C5" w:rsidRPr="00796260" w:rsidRDefault="008E515A" w:rsidP="00796260">
          <w:r w:rsidRPr="008E515A">
            <w:t>The</w:t>
          </w:r>
          <w:r w:rsidR="007136BD">
            <w:t xml:space="preserve"> Minister noted the</w:t>
          </w:r>
          <w:r w:rsidRPr="008E515A">
            <w:t xml:space="preserve"> Government ha</w:t>
          </w:r>
          <w:r w:rsidR="007136BD">
            <w:t>d</w:t>
          </w:r>
          <w:r w:rsidRPr="008E515A">
            <w:t xml:space="preserve"> committed to developing an Aviation White Paper, which w</w:t>
          </w:r>
          <w:r w:rsidR="007136BD">
            <w:t>ould</w:t>
          </w:r>
          <w:r w:rsidRPr="008E515A">
            <w:t xml:space="preserve"> consider the economic reforms needed to improve productivity across the</w:t>
          </w:r>
          <w:r w:rsidR="007136BD">
            <w:t xml:space="preserve"> aviation</w:t>
          </w:r>
          <w:r w:rsidRPr="008E515A">
            <w:t xml:space="preserve"> sector, including</w:t>
          </w:r>
          <w:r w:rsidR="007136BD">
            <w:t xml:space="preserve"> to</w:t>
          </w:r>
          <w:r w:rsidRPr="008E515A">
            <w:t xml:space="preserve"> address skills shortages, competition between airports and airlines, and charting a course out of the pandemic. </w:t>
          </w:r>
        </w:p>
        <w:p w14:paraId="72162BA1" w14:textId="0396F283" w:rsidR="00017121" w:rsidRDefault="00017121" w:rsidP="00BD1B4A">
          <w:pPr>
            <w:pStyle w:val="Heading3"/>
            <w:spacing w:before="400" w:after="80"/>
          </w:pPr>
          <w:r>
            <w:t>Next meeting</w:t>
          </w:r>
        </w:p>
        <w:p w14:paraId="5AE86E6F" w14:textId="5F2AC2E7" w:rsidR="00501469" w:rsidRDefault="004370A3" w:rsidP="25AD34AA">
          <w:pPr>
            <w:spacing w:before="0" w:after="0" w:line="259" w:lineRule="auto"/>
          </w:pPr>
          <w:r>
            <w:t xml:space="preserve">The next formal face to face meeting of TIAG is proposed to be held in </w:t>
          </w:r>
          <w:r w:rsidR="006A6922">
            <w:t>November</w:t>
          </w:r>
          <w:r>
            <w:t xml:space="preserve"> 2022</w:t>
          </w:r>
          <w:r w:rsidR="004A212E">
            <w:t xml:space="preserve"> when a THRIVE 2030 Implementation Report is planned to be ready for discussion.</w:t>
          </w:r>
        </w:p>
      </w:sdtContent>
    </w:sdt>
    <w:sectPr w:rsidR="00501469" w:rsidSect="00250D0F">
      <w:footerReference w:type="default" r:id="rId17"/>
      <w:headerReference w:type="first" r:id="rId18"/>
      <w:footerReference w:type="first" r:id="rId19"/>
      <w:pgSz w:w="11906" w:h="16838"/>
      <w:pgMar w:top="319"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A5D9" w14:textId="77777777" w:rsidR="00BF5084" w:rsidRDefault="00BF5084" w:rsidP="007B0021">
      <w:r>
        <w:separator/>
      </w:r>
    </w:p>
    <w:p w14:paraId="23A16C39" w14:textId="77777777" w:rsidR="00BF5084" w:rsidRDefault="00BF5084" w:rsidP="007B0021"/>
  </w:endnote>
  <w:endnote w:type="continuationSeparator" w:id="0">
    <w:p w14:paraId="536DAF43" w14:textId="77777777" w:rsidR="00BF5084" w:rsidRDefault="00BF5084" w:rsidP="007B0021">
      <w:r>
        <w:continuationSeparator/>
      </w:r>
    </w:p>
    <w:p w14:paraId="31E98738" w14:textId="77777777" w:rsidR="00BF5084" w:rsidRDefault="00BF5084" w:rsidP="007B0021"/>
  </w:endnote>
  <w:endnote w:type="continuationNotice" w:id="1">
    <w:p w14:paraId="5DA852E1" w14:textId="77777777" w:rsidR="00093041" w:rsidRDefault="000930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61D5" w14:textId="75884962" w:rsidR="00A176D9" w:rsidRPr="003D0704" w:rsidRDefault="00A176D9" w:rsidP="00A176D9">
    <w:pPr>
      <w:pStyle w:val="Footer"/>
      <w:tabs>
        <w:tab w:val="clear" w:pos="4513"/>
        <w:tab w:val="clear" w:pos="9026"/>
        <w:tab w:val="right" w:pos="9923"/>
      </w:tabs>
      <w:spacing w:before="0"/>
      <w:rPr>
        <w:color w:val="173F35" w:themeColor="accent1"/>
        <w:sz w:val="14"/>
        <w:szCs w:val="14"/>
      </w:rPr>
    </w:pPr>
    <w:r w:rsidRPr="003D0704">
      <w:rPr>
        <w:noProof/>
        <w:color w:val="173F35" w:themeColor="accent1"/>
        <w:sz w:val="14"/>
        <w:szCs w:val="14"/>
        <w:lang w:eastAsia="en-AU"/>
      </w:rPr>
      <mc:AlternateContent>
        <mc:Choice Requires="wps">
          <w:drawing>
            <wp:anchor distT="0" distB="0" distL="114300" distR="114300" simplePos="0" relativeHeight="251658241" behindDoc="0" locked="0" layoutInCell="1" allowOverlap="1" wp14:anchorId="10651E18" wp14:editId="12403FE9">
              <wp:simplePos x="0" y="0"/>
              <wp:positionH relativeFrom="column">
                <wp:posOffset>-23495</wp:posOffset>
              </wp:positionH>
              <wp:positionV relativeFrom="paragraph">
                <wp:posOffset>10697</wp:posOffset>
              </wp:positionV>
              <wp:extent cx="6310386" cy="0"/>
              <wp:effectExtent l="0" t="0" r="0" b="0"/>
              <wp:wrapNone/>
              <wp:docPr id="184" name="Straight Connector 184"/>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D87DB" id="Straight Connector 18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85pt,.85pt" to="4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strokecolor="#173f35 [3204]" strokeweight="1.5pt">
              <v:stroke joinstyle="miter"/>
            </v:line>
          </w:pict>
        </mc:Fallback>
      </mc:AlternateContent>
    </w:r>
    <w:r>
      <w:rPr>
        <w:color w:val="173F35" w:themeColor="accent1"/>
        <w:sz w:val="14"/>
        <w:szCs w:val="14"/>
      </w:rPr>
      <w:t xml:space="preserve">TIAG </w:t>
    </w:r>
    <w:r w:rsidR="00250D0F">
      <w:rPr>
        <w:color w:val="173F35" w:themeColor="accent1"/>
        <w:sz w:val="14"/>
        <w:szCs w:val="14"/>
      </w:rPr>
      <w:t>M</w:t>
    </w:r>
    <w:r>
      <w:rPr>
        <w:color w:val="173F35" w:themeColor="accent1"/>
        <w:sz w:val="14"/>
        <w:szCs w:val="14"/>
      </w:rPr>
      <w:t xml:space="preserve">eeting </w:t>
    </w:r>
    <w:r w:rsidR="00250D0F">
      <w:rPr>
        <w:color w:val="173F35" w:themeColor="accent1"/>
        <w:sz w:val="14"/>
        <w:szCs w:val="14"/>
      </w:rPr>
      <w:t>Summary</w:t>
    </w:r>
    <w:r>
      <w:rPr>
        <w:color w:val="173F35" w:themeColor="accent1"/>
        <w:sz w:val="14"/>
        <w:szCs w:val="14"/>
      </w:rPr>
      <w:t xml:space="preserve">: </w:t>
    </w:r>
    <w:r w:rsidR="000D1252">
      <w:rPr>
        <w:color w:val="173F35" w:themeColor="accent1"/>
        <w:sz w:val="14"/>
        <w:szCs w:val="14"/>
      </w:rPr>
      <w:t>5 August 2022</w:t>
    </w:r>
    <w:r>
      <w:rPr>
        <w:color w:val="173F35" w:themeColor="accent1"/>
        <w:sz w:val="14"/>
        <w:szCs w:val="14"/>
      </w:rPr>
      <w:tab/>
    </w:r>
  </w:p>
  <w:p w14:paraId="0FBCB880" w14:textId="77777777" w:rsidR="00A176D9" w:rsidRDefault="00A17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9BAE" w14:textId="6A0DCF68" w:rsidR="00A176D9" w:rsidRPr="003D0704" w:rsidRDefault="00A176D9" w:rsidP="00A176D9">
    <w:pPr>
      <w:pStyle w:val="Footer"/>
      <w:tabs>
        <w:tab w:val="clear" w:pos="4513"/>
        <w:tab w:val="clear" w:pos="9026"/>
        <w:tab w:val="right" w:pos="9923"/>
      </w:tabs>
      <w:spacing w:before="0"/>
      <w:rPr>
        <w:color w:val="173F35" w:themeColor="accent1"/>
        <w:sz w:val="14"/>
        <w:szCs w:val="14"/>
      </w:rPr>
    </w:pPr>
    <w:r w:rsidRPr="003D0704">
      <w:rPr>
        <w:noProof/>
        <w:color w:val="173F35" w:themeColor="accent1"/>
        <w:sz w:val="14"/>
        <w:szCs w:val="14"/>
        <w:lang w:eastAsia="en-AU"/>
      </w:rPr>
      <mc:AlternateContent>
        <mc:Choice Requires="wps">
          <w:drawing>
            <wp:anchor distT="0" distB="0" distL="114300" distR="114300" simplePos="0" relativeHeight="251658242" behindDoc="0" locked="0" layoutInCell="1" allowOverlap="1" wp14:anchorId="27295C0C" wp14:editId="78BCF952">
              <wp:simplePos x="0" y="0"/>
              <wp:positionH relativeFrom="column">
                <wp:posOffset>-23495</wp:posOffset>
              </wp:positionH>
              <wp:positionV relativeFrom="paragraph">
                <wp:posOffset>10697</wp:posOffset>
              </wp:positionV>
              <wp:extent cx="6310386"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DB35F" id="Straight Connector 3"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85pt,.85pt" to="4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strokecolor="#173f35 [3204]" strokeweight="1.5pt">
              <v:stroke joinstyle="miter"/>
            </v:line>
          </w:pict>
        </mc:Fallback>
      </mc:AlternateContent>
    </w:r>
    <w:r>
      <w:rPr>
        <w:color w:val="173F35" w:themeColor="accent1"/>
        <w:sz w:val="14"/>
        <w:szCs w:val="14"/>
      </w:rPr>
      <w:t xml:space="preserve">TIAG </w:t>
    </w:r>
    <w:r w:rsidR="00250D0F">
      <w:rPr>
        <w:color w:val="173F35" w:themeColor="accent1"/>
        <w:sz w:val="14"/>
        <w:szCs w:val="14"/>
      </w:rPr>
      <w:t>Meeting Summary</w:t>
    </w:r>
    <w:r>
      <w:rPr>
        <w:color w:val="173F35" w:themeColor="accent1"/>
        <w:sz w:val="14"/>
        <w:szCs w:val="14"/>
      </w:rPr>
      <w:t xml:space="preserve">: </w:t>
    </w:r>
    <w:r w:rsidR="005A5A37">
      <w:rPr>
        <w:color w:val="173F35" w:themeColor="accent1"/>
        <w:sz w:val="14"/>
        <w:szCs w:val="14"/>
      </w:rPr>
      <w:t>5 August 2022</w:t>
    </w:r>
    <w:r>
      <w:rPr>
        <w:color w:val="173F35" w:themeColor="accent1"/>
        <w:sz w:val="14"/>
        <w:szCs w:val="14"/>
      </w:rPr>
      <w:tab/>
    </w:r>
  </w:p>
  <w:p w14:paraId="283A1D1B" w14:textId="77777777" w:rsidR="00A176D9" w:rsidRDefault="00A176D9" w:rsidP="00A176D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50EE6" w14:textId="77777777" w:rsidR="00BF5084" w:rsidRDefault="00BF5084" w:rsidP="007B0021">
      <w:r>
        <w:separator/>
      </w:r>
    </w:p>
    <w:p w14:paraId="48395590" w14:textId="77777777" w:rsidR="00BF5084" w:rsidRDefault="00BF5084" w:rsidP="007B0021"/>
  </w:footnote>
  <w:footnote w:type="continuationSeparator" w:id="0">
    <w:p w14:paraId="0420DA33" w14:textId="77777777" w:rsidR="00BF5084" w:rsidRDefault="00BF5084" w:rsidP="007B0021">
      <w:r>
        <w:continuationSeparator/>
      </w:r>
    </w:p>
    <w:p w14:paraId="7B5F9850" w14:textId="77777777" w:rsidR="00BF5084" w:rsidRDefault="00BF5084" w:rsidP="007B0021"/>
  </w:footnote>
  <w:footnote w:type="continuationNotice" w:id="1">
    <w:p w14:paraId="2FE4C702" w14:textId="77777777" w:rsidR="00093041" w:rsidRDefault="000930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A201" w14:textId="77777777" w:rsidR="003A58AB" w:rsidRDefault="003A58AB" w:rsidP="007B0021">
    <w:pPr>
      <w:pStyle w:val="Header"/>
    </w:pPr>
  </w:p>
  <w:p w14:paraId="4ED4BDA7" w14:textId="77777777" w:rsidR="003A58AB" w:rsidRDefault="003A58AB" w:rsidP="007B0021">
    <w:r>
      <w:rPr>
        <w:noProof/>
        <w:lang w:eastAsia="en-AU"/>
      </w:rPr>
      <w:drawing>
        <wp:anchor distT="0" distB="0" distL="114300" distR="114300" simplePos="0" relativeHeight="251658240" behindDoc="0" locked="0" layoutInCell="1" allowOverlap="1" wp14:anchorId="527C9FD6" wp14:editId="120CAB5D">
          <wp:simplePos x="0" y="0"/>
          <wp:positionH relativeFrom="column">
            <wp:posOffset>3971925</wp:posOffset>
          </wp:positionH>
          <wp:positionV relativeFrom="margin">
            <wp:posOffset>-410210</wp:posOffset>
          </wp:positionV>
          <wp:extent cx="2276475" cy="238760"/>
          <wp:effectExtent l="0" t="0" r="952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23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6F9E89FC"/>
    <w:lvl w:ilvl="0" w:tplc="16200BEE">
      <w:start w:val="1"/>
      <w:numFmt w:val="bullet"/>
      <w:pStyle w:val="BulletList"/>
      <w:lvlText w:val=""/>
      <w:lvlJc w:val="left"/>
      <w:pPr>
        <w:ind w:left="1856" w:hanging="360"/>
      </w:pPr>
      <w:rPr>
        <w:rFonts w:ascii="Symbol" w:hAnsi="Symbol" w:cs="Symbol" w:hint="default"/>
      </w:rPr>
    </w:lvl>
    <w:lvl w:ilvl="1" w:tplc="0C090003">
      <w:start w:val="1"/>
      <w:numFmt w:val="bullet"/>
      <w:lvlText w:val="o"/>
      <w:lvlJc w:val="left"/>
      <w:pPr>
        <w:ind w:left="2576" w:hanging="360"/>
      </w:pPr>
      <w:rPr>
        <w:rFonts w:ascii="Courier New" w:hAnsi="Courier New" w:cs="Courier New" w:hint="default"/>
      </w:rPr>
    </w:lvl>
    <w:lvl w:ilvl="2" w:tplc="0C090005">
      <w:start w:val="1"/>
      <w:numFmt w:val="bullet"/>
      <w:lvlText w:val=""/>
      <w:lvlJc w:val="left"/>
      <w:pPr>
        <w:ind w:left="3296" w:hanging="360"/>
      </w:pPr>
      <w:rPr>
        <w:rFonts w:ascii="Wingdings" w:hAnsi="Wingdings" w:cs="Wingdings" w:hint="default"/>
      </w:rPr>
    </w:lvl>
    <w:lvl w:ilvl="3" w:tplc="0C090001" w:tentative="1">
      <w:start w:val="1"/>
      <w:numFmt w:val="bullet"/>
      <w:lvlText w:val=""/>
      <w:lvlJc w:val="left"/>
      <w:pPr>
        <w:ind w:left="4016" w:hanging="360"/>
      </w:pPr>
      <w:rPr>
        <w:rFonts w:ascii="Symbol" w:hAnsi="Symbol" w:cs="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cs="Wingdings" w:hint="default"/>
      </w:rPr>
    </w:lvl>
    <w:lvl w:ilvl="6" w:tplc="0C090001" w:tentative="1">
      <w:start w:val="1"/>
      <w:numFmt w:val="bullet"/>
      <w:lvlText w:val=""/>
      <w:lvlJc w:val="left"/>
      <w:pPr>
        <w:ind w:left="6176" w:hanging="360"/>
      </w:pPr>
      <w:rPr>
        <w:rFonts w:ascii="Symbol" w:hAnsi="Symbol" w:cs="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63B5F4D"/>
    <w:multiLevelType w:val="hybridMultilevel"/>
    <w:tmpl w:val="96F25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1239629846">
    <w:abstractNumId w:val="1"/>
  </w:num>
  <w:num w:numId="2" w16cid:durableId="1305280953">
    <w:abstractNumId w:val="2"/>
  </w:num>
  <w:num w:numId="3" w16cid:durableId="1723409187">
    <w:abstractNumId w:val="2"/>
    <w:lvlOverride w:ilvl="0">
      <w:startOverride w:val="1"/>
    </w:lvlOverride>
  </w:num>
  <w:num w:numId="4" w16cid:durableId="1754011941">
    <w:abstractNumId w:val="2"/>
    <w:lvlOverride w:ilvl="0">
      <w:startOverride w:val="1"/>
    </w:lvlOverride>
  </w:num>
  <w:num w:numId="5" w16cid:durableId="454057856">
    <w:abstractNumId w:val="2"/>
    <w:lvlOverride w:ilvl="0">
      <w:startOverride w:val="1"/>
    </w:lvlOverride>
  </w:num>
  <w:num w:numId="6" w16cid:durableId="1728406976">
    <w:abstractNumId w:val="0"/>
  </w:num>
  <w:num w:numId="7" w16cid:durableId="564875755">
    <w:abstractNumId w:val="4"/>
  </w:num>
  <w:num w:numId="8" w16cid:durableId="733623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9A"/>
    <w:rsid w:val="00013FCE"/>
    <w:rsid w:val="00017121"/>
    <w:rsid w:val="00034618"/>
    <w:rsid w:val="00035602"/>
    <w:rsid w:val="0005093C"/>
    <w:rsid w:val="0006782E"/>
    <w:rsid w:val="00093041"/>
    <w:rsid w:val="000A0425"/>
    <w:rsid w:val="000A0AFA"/>
    <w:rsid w:val="000A7210"/>
    <w:rsid w:val="000B2526"/>
    <w:rsid w:val="000B6D50"/>
    <w:rsid w:val="000D1252"/>
    <w:rsid w:val="000D3DF4"/>
    <w:rsid w:val="000D431E"/>
    <w:rsid w:val="000E7E86"/>
    <w:rsid w:val="000F3710"/>
    <w:rsid w:val="000F4E2E"/>
    <w:rsid w:val="0010667E"/>
    <w:rsid w:val="00117092"/>
    <w:rsid w:val="0012425F"/>
    <w:rsid w:val="00147D40"/>
    <w:rsid w:val="00152D73"/>
    <w:rsid w:val="00191835"/>
    <w:rsid w:val="001A4CB7"/>
    <w:rsid w:val="001B1FAE"/>
    <w:rsid w:val="001C351A"/>
    <w:rsid w:val="001C5708"/>
    <w:rsid w:val="001C6510"/>
    <w:rsid w:val="001D41D9"/>
    <w:rsid w:val="001D45BF"/>
    <w:rsid w:val="001E186F"/>
    <w:rsid w:val="001F4C2F"/>
    <w:rsid w:val="00225495"/>
    <w:rsid w:val="00237506"/>
    <w:rsid w:val="00243765"/>
    <w:rsid w:val="00245E86"/>
    <w:rsid w:val="00250D0F"/>
    <w:rsid w:val="00253226"/>
    <w:rsid w:val="00261F28"/>
    <w:rsid w:val="002749C0"/>
    <w:rsid w:val="0028112D"/>
    <w:rsid w:val="00282C92"/>
    <w:rsid w:val="0028696F"/>
    <w:rsid w:val="00290247"/>
    <w:rsid w:val="00296B4E"/>
    <w:rsid w:val="002C095C"/>
    <w:rsid w:val="002C1F51"/>
    <w:rsid w:val="002E309C"/>
    <w:rsid w:val="003036DA"/>
    <w:rsid w:val="00306DE2"/>
    <w:rsid w:val="00321E47"/>
    <w:rsid w:val="00322A59"/>
    <w:rsid w:val="00326B31"/>
    <w:rsid w:val="00332B25"/>
    <w:rsid w:val="00347EC5"/>
    <w:rsid w:val="00350244"/>
    <w:rsid w:val="0036717F"/>
    <w:rsid w:val="00390F9A"/>
    <w:rsid w:val="003931EB"/>
    <w:rsid w:val="00397BFC"/>
    <w:rsid w:val="003A58AB"/>
    <w:rsid w:val="003A5D3E"/>
    <w:rsid w:val="003B2567"/>
    <w:rsid w:val="003C3B0A"/>
    <w:rsid w:val="003C5A61"/>
    <w:rsid w:val="003D030D"/>
    <w:rsid w:val="003D0704"/>
    <w:rsid w:val="003D65E7"/>
    <w:rsid w:val="003E38E3"/>
    <w:rsid w:val="003E5497"/>
    <w:rsid w:val="003E7943"/>
    <w:rsid w:val="003F49EC"/>
    <w:rsid w:val="003F78E5"/>
    <w:rsid w:val="00401EF2"/>
    <w:rsid w:val="004025EB"/>
    <w:rsid w:val="00406B0E"/>
    <w:rsid w:val="0043062E"/>
    <w:rsid w:val="00431B5B"/>
    <w:rsid w:val="0043477D"/>
    <w:rsid w:val="004370A3"/>
    <w:rsid w:val="004477B4"/>
    <w:rsid w:val="0045192E"/>
    <w:rsid w:val="00460A41"/>
    <w:rsid w:val="004767E6"/>
    <w:rsid w:val="00497111"/>
    <w:rsid w:val="004A212E"/>
    <w:rsid w:val="004A5D81"/>
    <w:rsid w:val="004A5D92"/>
    <w:rsid w:val="004C3BB6"/>
    <w:rsid w:val="004C6441"/>
    <w:rsid w:val="004D06AF"/>
    <w:rsid w:val="004D0AB7"/>
    <w:rsid w:val="004D6F59"/>
    <w:rsid w:val="004D7792"/>
    <w:rsid w:val="004F5FC6"/>
    <w:rsid w:val="00501469"/>
    <w:rsid w:val="005202D5"/>
    <w:rsid w:val="005264E9"/>
    <w:rsid w:val="00532D40"/>
    <w:rsid w:val="0055644D"/>
    <w:rsid w:val="00556909"/>
    <w:rsid w:val="00571BDC"/>
    <w:rsid w:val="00583B32"/>
    <w:rsid w:val="00584B69"/>
    <w:rsid w:val="005A2BBA"/>
    <w:rsid w:val="005A5A37"/>
    <w:rsid w:val="005B661E"/>
    <w:rsid w:val="005C33B7"/>
    <w:rsid w:val="005D3E5E"/>
    <w:rsid w:val="005E209D"/>
    <w:rsid w:val="005E4CF0"/>
    <w:rsid w:val="00607906"/>
    <w:rsid w:val="00616D1B"/>
    <w:rsid w:val="00621FE3"/>
    <w:rsid w:val="006237AB"/>
    <w:rsid w:val="0063779B"/>
    <w:rsid w:val="00645922"/>
    <w:rsid w:val="0065148D"/>
    <w:rsid w:val="006514C5"/>
    <w:rsid w:val="00651CA0"/>
    <w:rsid w:val="0067043C"/>
    <w:rsid w:val="006906BB"/>
    <w:rsid w:val="00694AAD"/>
    <w:rsid w:val="006969E3"/>
    <w:rsid w:val="00696F9E"/>
    <w:rsid w:val="006A3659"/>
    <w:rsid w:val="006A6922"/>
    <w:rsid w:val="006B081A"/>
    <w:rsid w:val="006B2723"/>
    <w:rsid w:val="006E3E9E"/>
    <w:rsid w:val="006E50C6"/>
    <w:rsid w:val="006E5730"/>
    <w:rsid w:val="006F7525"/>
    <w:rsid w:val="007136BD"/>
    <w:rsid w:val="00734FF5"/>
    <w:rsid w:val="00766461"/>
    <w:rsid w:val="00771648"/>
    <w:rsid w:val="00774485"/>
    <w:rsid w:val="00780E3A"/>
    <w:rsid w:val="0078435A"/>
    <w:rsid w:val="00793DF3"/>
    <w:rsid w:val="00794BE3"/>
    <w:rsid w:val="00796260"/>
    <w:rsid w:val="007A0FC3"/>
    <w:rsid w:val="007A16D9"/>
    <w:rsid w:val="007A421C"/>
    <w:rsid w:val="007A783C"/>
    <w:rsid w:val="007B0021"/>
    <w:rsid w:val="007D3813"/>
    <w:rsid w:val="007E0F32"/>
    <w:rsid w:val="00800F81"/>
    <w:rsid w:val="008169E7"/>
    <w:rsid w:val="008277CC"/>
    <w:rsid w:val="008407EC"/>
    <w:rsid w:val="00841E80"/>
    <w:rsid w:val="008514EC"/>
    <w:rsid w:val="008561AF"/>
    <w:rsid w:val="00857A0A"/>
    <w:rsid w:val="0086182E"/>
    <w:rsid w:val="00865159"/>
    <w:rsid w:val="00865233"/>
    <w:rsid w:val="008749B9"/>
    <w:rsid w:val="00877D9B"/>
    <w:rsid w:val="00880118"/>
    <w:rsid w:val="00883DEA"/>
    <w:rsid w:val="00886CB9"/>
    <w:rsid w:val="008A56EA"/>
    <w:rsid w:val="008B6033"/>
    <w:rsid w:val="008C03C6"/>
    <w:rsid w:val="008D7075"/>
    <w:rsid w:val="008E0E07"/>
    <w:rsid w:val="008E515A"/>
    <w:rsid w:val="008F4FD7"/>
    <w:rsid w:val="00904581"/>
    <w:rsid w:val="00910C53"/>
    <w:rsid w:val="00910D2E"/>
    <w:rsid w:val="00911FBD"/>
    <w:rsid w:val="00914090"/>
    <w:rsid w:val="00921435"/>
    <w:rsid w:val="0092232C"/>
    <w:rsid w:val="009257A1"/>
    <w:rsid w:val="0092648B"/>
    <w:rsid w:val="00940F62"/>
    <w:rsid w:val="0094463A"/>
    <w:rsid w:val="00947DFE"/>
    <w:rsid w:val="009633D7"/>
    <w:rsid w:val="00965F4A"/>
    <w:rsid w:val="0096640D"/>
    <w:rsid w:val="00967714"/>
    <w:rsid w:val="009735EA"/>
    <w:rsid w:val="00973D01"/>
    <w:rsid w:val="0098379B"/>
    <w:rsid w:val="00996B27"/>
    <w:rsid w:val="009A6B00"/>
    <w:rsid w:val="009B1CAF"/>
    <w:rsid w:val="009C124A"/>
    <w:rsid w:val="009C3AE4"/>
    <w:rsid w:val="009D6B24"/>
    <w:rsid w:val="009D70B3"/>
    <w:rsid w:val="009E02A0"/>
    <w:rsid w:val="009E1D4B"/>
    <w:rsid w:val="009E32D7"/>
    <w:rsid w:val="00A00806"/>
    <w:rsid w:val="00A176D9"/>
    <w:rsid w:val="00A44FDC"/>
    <w:rsid w:val="00A53A4C"/>
    <w:rsid w:val="00A7204C"/>
    <w:rsid w:val="00A84CCC"/>
    <w:rsid w:val="00AA2BC9"/>
    <w:rsid w:val="00AB6863"/>
    <w:rsid w:val="00AB737C"/>
    <w:rsid w:val="00AC0F96"/>
    <w:rsid w:val="00AC6A14"/>
    <w:rsid w:val="00AE3D08"/>
    <w:rsid w:val="00AE58C5"/>
    <w:rsid w:val="00AF249C"/>
    <w:rsid w:val="00B04E4E"/>
    <w:rsid w:val="00B2740A"/>
    <w:rsid w:val="00B314DD"/>
    <w:rsid w:val="00B34D04"/>
    <w:rsid w:val="00B4552E"/>
    <w:rsid w:val="00B512AC"/>
    <w:rsid w:val="00B54801"/>
    <w:rsid w:val="00B76F42"/>
    <w:rsid w:val="00B85524"/>
    <w:rsid w:val="00B96CEF"/>
    <w:rsid w:val="00BA68F1"/>
    <w:rsid w:val="00BD19C4"/>
    <w:rsid w:val="00BD1B4A"/>
    <w:rsid w:val="00BE1C64"/>
    <w:rsid w:val="00BF5084"/>
    <w:rsid w:val="00C02BC3"/>
    <w:rsid w:val="00C02C94"/>
    <w:rsid w:val="00C06C20"/>
    <w:rsid w:val="00C13E42"/>
    <w:rsid w:val="00C153AB"/>
    <w:rsid w:val="00C279D9"/>
    <w:rsid w:val="00C300D5"/>
    <w:rsid w:val="00C3141D"/>
    <w:rsid w:val="00CB6ED1"/>
    <w:rsid w:val="00CC7DDD"/>
    <w:rsid w:val="00CD02CA"/>
    <w:rsid w:val="00CD0486"/>
    <w:rsid w:val="00CD0CE5"/>
    <w:rsid w:val="00CD1BE3"/>
    <w:rsid w:val="00CE1711"/>
    <w:rsid w:val="00CF0E29"/>
    <w:rsid w:val="00CF4F9D"/>
    <w:rsid w:val="00CF533D"/>
    <w:rsid w:val="00D124E8"/>
    <w:rsid w:val="00D41B26"/>
    <w:rsid w:val="00D426A1"/>
    <w:rsid w:val="00D44AB1"/>
    <w:rsid w:val="00D76AE4"/>
    <w:rsid w:val="00D77D7F"/>
    <w:rsid w:val="00D824D0"/>
    <w:rsid w:val="00D85DE0"/>
    <w:rsid w:val="00D864CC"/>
    <w:rsid w:val="00D86523"/>
    <w:rsid w:val="00D871C3"/>
    <w:rsid w:val="00D93830"/>
    <w:rsid w:val="00D952F1"/>
    <w:rsid w:val="00D9740B"/>
    <w:rsid w:val="00DA658E"/>
    <w:rsid w:val="00DB18FE"/>
    <w:rsid w:val="00DB21A7"/>
    <w:rsid w:val="00DD411E"/>
    <w:rsid w:val="00DD7AE4"/>
    <w:rsid w:val="00DE0209"/>
    <w:rsid w:val="00DE31B4"/>
    <w:rsid w:val="00DF57F4"/>
    <w:rsid w:val="00E24D12"/>
    <w:rsid w:val="00E36B4F"/>
    <w:rsid w:val="00E40DD6"/>
    <w:rsid w:val="00E703F2"/>
    <w:rsid w:val="00E902C6"/>
    <w:rsid w:val="00EA11C9"/>
    <w:rsid w:val="00EA2651"/>
    <w:rsid w:val="00EA272C"/>
    <w:rsid w:val="00EA4240"/>
    <w:rsid w:val="00ED517A"/>
    <w:rsid w:val="00EE05FC"/>
    <w:rsid w:val="00EE4027"/>
    <w:rsid w:val="00F13A75"/>
    <w:rsid w:val="00F16C84"/>
    <w:rsid w:val="00F2227F"/>
    <w:rsid w:val="00F23FEC"/>
    <w:rsid w:val="00F246B1"/>
    <w:rsid w:val="00F45A2B"/>
    <w:rsid w:val="00F53C33"/>
    <w:rsid w:val="00F5677A"/>
    <w:rsid w:val="00F65113"/>
    <w:rsid w:val="00F822DD"/>
    <w:rsid w:val="00F85A20"/>
    <w:rsid w:val="00F93EA6"/>
    <w:rsid w:val="00F95EA0"/>
    <w:rsid w:val="00F97D50"/>
    <w:rsid w:val="00FA4F1E"/>
    <w:rsid w:val="00FB606A"/>
    <w:rsid w:val="00FC0ECD"/>
    <w:rsid w:val="00FC1ABB"/>
    <w:rsid w:val="00FC23BB"/>
    <w:rsid w:val="00FD6F93"/>
    <w:rsid w:val="00FE0907"/>
    <w:rsid w:val="00FE2164"/>
    <w:rsid w:val="00FF76ED"/>
    <w:rsid w:val="096261AE"/>
    <w:rsid w:val="11B13B92"/>
    <w:rsid w:val="13077F34"/>
    <w:rsid w:val="134D0BF3"/>
    <w:rsid w:val="1809E56A"/>
    <w:rsid w:val="25AD34AA"/>
    <w:rsid w:val="2C0D3FD5"/>
    <w:rsid w:val="3338EFAC"/>
    <w:rsid w:val="3DC72186"/>
    <w:rsid w:val="474CAFD3"/>
    <w:rsid w:val="48FD1F2F"/>
    <w:rsid w:val="4A98EF90"/>
    <w:rsid w:val="51ABB8A9"/>
    <w:rsid w:val="538B5109"/>
    <w:rsid w:val="6D878976"/>
    <w:rsid w:val="6ECAC107"/>
    <w:rsid w:val="75422E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8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C279D9"/>
    <w:pPr>
      <w:outlineLvl w:val="0"/>
    </w:pPr>
    <w:rPr>
      <w:b w:val="0"/>
    </w:rPr>
  </w:style>
  <w:style w:type="paragraph" w:styleId="Heading2">
    <w:name w:val="heading 2"/>
    <w:basedOn w:val="Normal"/>
    <w:next w:val="Normal"/>
    <w:link w:val="Heading2Char"/>
    <w:uiPriority w:val="9"/>
    <w:unhideWhenUsed/>
    <w:qFormat/>
    <w:rsid w:val="00390F9A"/>
    <w:pPr>
      <w:spacing w:after="480" w:line="240" w:lineRule="auto"/>
      <w:outlineLvl w:val="1"/>
    </w:pPr>
    <w:rPr>
      <w:color w:val="173F35" w:themeColor="accent1"/>
      <w:sz w:val="48"/>
      <w:szCs w:val="48"/>
    </w:rPr>
  </w:style>
  <w:style w:type="paragraph" w:styleId="Heading3">
    <w:name w:val="heading 3"/>
    <w:basedOn w:val="Title"/>
    <w:next w:val="Normal"/>
    <w:link w:val="Heading3Char"/>
    <w:uiPriority w:val="9"/>
    <w:unhideWhenUsed/>
    <w:qFormat/>
    <w:rsid w:val="00C279D9"/>
    <w:pPr>
      <w:outlineLvl w:val="2"/>
    </w:pPr>
    <w:rPr>
      <w:b w:val="0"/>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C279D9"/>
    <w:rPr>
      <w:rFonts w:ascii="Verdana" w:hAnsi="Verdana"/>
      <w:bCs/>
      <w:color w:val="173F35" w:themeColor="accent1"/>
      <w:sz w:val="68"/>
      <w:szCs w:val="68"/>
    </w:rPr>
  </w:style>
  <w:style w:type="character" w:styleId="Strong">
    <w:name w:val="Strong"/>
    <w:aliases w:val="IntroCopy"/>
    <w:uiPriority w:val="22"/>
    <w:rsid w:val="00571BDC"/>
    <w:rPr>
      <w:color w:val="173F35" w:themeColor="accent1"/>
      <w:sz w:val="32"/>
      <w:szCs w:val="32"/>
      <w:lang w:val="pt-PT"/>
    </w:rPr>
  </w:style>
  <w:style w:type="paragraph" w:styleId="Title">
    <w:name w:val="Title"/>
    <w:aliases w:val="SubHeader1"/>
    <w:basedOn w:val="Normal"/>
    <w:next w:val="Normal"/>
    <w:link w:val="TitleChar"/>
    <w:uiPriority w:val="10"/>
    <w:qFormat/>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390F9A"/>
    <w:rPr>
      <w:rFonts w:ascii="Verdana" w:hAnsi="Verdana"/>
      <w:color w:val="173F35" w:themeColor="accent1"/>
      <w:sz w:val="48"/>
      <w:szCs w:val="48"/>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5"/>
      </w:numPr>
      <w:spacing w:before="0"/>
    </w:pPr>
  </w:style>
  <w:style w:type="paragraph" w:styleId="Quote">
    <w:name w:val="Quote"/>
    <w:basedOn w:val="Normal"/>
    <w:next w:val="Normal"/>
    <w:link w:val="QuoteChar"/>
    <w:uiPriority w:val="29"/>
    <w:qFormat/>
    <w:rsid w:val="00FC1ABB"/>
    <w:pPr>
      <w:spacing w:after="240" w:line="380" w:lineRule="atLeast"/>
    </w:pPr>
    <w:rPr>
      <w:color w:val="173F35" w:themeColor="accent1"/>
      <w:sz w:val="28"/>
      <w:szCs w:val="28"/>
    </w:rPr>
  </w:style>
  <w:style w:type="character" w:customStyle="1" w:styleId="QuoteChar">
    <w:name w:val="Quote Char"/>
    <w:basedOn w:val="DefaultParagraphFont"/>
    <w:link w:val="Quote"/>
    <w:uiPriority w:val="29"/>
    <w:rsid w:val="00FC1ABB"/>
    <w:rPr>
      <w:rFonts w:ascii="Verdana" w:hAnsi="Verdana"/>
      <w:color w:val="173F35" w:themeColor="accent1"/>
      <w:sz w:val="28"/>
      <w:szCs w:val="28"/>
    </w:rPr>
  </w:style>
  <w:style w:type="paragraph" w:customStyle="1" w:styleId="QuoteSource">
    <w:name w:val="QuoteSource"/>
    <w:basedOn w:val="Normal"/>
    <w:qFormat/>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173F35"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173F35"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1E988A" w:themeFill="accent4"/>
    </w:pPr>
    <w:rPr>
      <w:b/>
      <w:sz w:val="22"/>
    </w:rPr>
  </w:style>
  <w:style w:type="paragraph" w:customStyle="1" w:styleId="IntroCopy">
    <w:name w:val="Intro Copy"/>
    <w:basedOn w:val="Normal"/>
    <w:link w:val="IntroCopyChar"/>
    <w:rsid w:val="00571BDC"/>
    <w:pPr>
      <w:spacing w:line="420" w:lineRule="exact"/>
    </w:pPr>
    <w:rPr>
      <w:color w:val="173F35" w:themeColor="accent1"/>
      <w:sz w:val="32"/>
      <w:szCs w:val="32"/>
    </w:rPr>
  </w:style>
  <w:style w:type="character" w:customStyle="1" w:styleId="IntroCopyChar">
    <w:name w:val="Intro Copy Char"/>
    <w:basedOn w:val="DefaultParagraphFont"/>
    <w:link w:val="IntroCopy"/>
    <w:rsid w:val="00571BDC"/>
    <w:rPr>
      <w:rFonts w:ascii="Verdana" w:hAnsi="Verdana"/>
      <w:color w:val="173F35" w:themeColor="accent1"/>
      <w:sz w:val="32"/>
      <w:szCs w:val="32"/>
    </w:rPr>
  </w:style>
  <w:style w:type="paragraph" w:customStyle="1" w:styleId="CoverPageHeader">
    <w:name w:val="CoverPage Header"/>
    <w:basedOn w:val="Title"/>
    <w:rsid w:val="00F45A2B"/>
    <w:pPr>
      <w:spacing w:after="480" w:line="240" w:lineRule="auto"/>
    </w:pPr>
    <w:rPr>
      <w:color w:val="173F35"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C279D9"/>
    <w:rPr>
      <w:rFonts w:ascii="Verdana" w:hAnsi="Verdana"/>
      <w:bCs/>
      <w:color w:val="000000" w:themeColor="text1"/>
      <w:sz w:val="32"/>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D86523"/>
    <w:rPr>
      <w:color w:val="173F35" w:themeColor="followedHyperlink"/>
      <w:u w:val="single"/>
    </w:rPr>
  </w:style>
  <w:style w:type="paragraph" w:styleId="Subtitle">
    <w:name w:val="Subtitle"/>
    <w:basedOn w:val="Normal"/>
    <w:next w:val="Normal"/>
    <w:link w:val="SubtitleChar"/>
    <w:uiPriority w:val="11"/>
    <w:qFormat/>
    <w:rsid w:val="004370A3"/>
    <w:pPr>
      <w:spacing w:before="0" w:after="60" w:line="252" w:lineRule="auto"/>
      <w:ind w:right="1700"/>
    </w:pPr>
    <w:rPr>
      <w:rFonts w:asciiTheme="minorHAnsi" w:eastAsiaTheme="minorEastAsia" w:hAnsiTheme="minorHAnsi"/>
      <w:color w:val="FFFFFF" w:themeColor="background1"/>
      <w:sz w:val="26"/>
      <w:szCs w:val="26"/>
      <w:lang w:eastAsia="zh-CN"/>
    </w:rPr>
  </w:style>
  <w:style w:type="character" w:customStyle="1" w:styleId="SubtitleChar">
    <w:name w:val="Subtitle Char"/>
    <w:basedOn w:val="DefaultParagraphFont"/>
    <w:link w:val="Subtitle"/>
    <w:uiPriority w:val="11"/>
    <w:rsid w:val="004370A3"/>
    <w:rPr>
      <w:rFonts w:eastAsiaTheme="minorEastAsia"/>
      <w:color w:val="FFFFFF" w:themeColor="background1"/>
      <w:sz w:val="26"/>
      <w:szCs w:val="26"/>
      <w:lang w:eastAsia="zh-CN"/>
    </w:rPr>
  </w:style>
  <w:style w:type="paragraph" w:customStyle="1" w:styleId="Spacer-cover">
    <w:name w:val="Spacer - cover"/>
    <w:basedOn w:val="Normal"/>
    <w:rsid w:val="004370A3"/>
    <w:pPr>
      <w:spacing w:before="0" w:after="1060" w:line="252" w:lineRule="auto"/>
    </w:pPr>
    <w:rPr>
      <w:rFonts w:asciiTheme="minorHAnsi" w:eastAsiaTheme="minorEastAsia" w:hAnsiTheme="minorHAnsi"/>
      <w:color w:val="auto"/>
      <w:lang w:eastAsia="zh-CN"/>
    </w:rPr>
  </w:style>
  <w:style w:type="character" w:customStyle="1" w:styleId="normaltextrun">
    <w:name w:val="normaltextrun"/>
    <w:basedOn w:val="DefaultParagraphFont"/>
    <w:rsid w:val="008E515A"/>
  </w:style>
  <w:style w:type="character" w:customStyle="1" w:styleId="eop">
    <w:name w:val="eop"/>
    <w:basedOn w:val="DefaultParagraphFont"/>
    <w:rsid w:val="008E5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Brand Australia_Word">
      <a:dk1>
        <a:srgbClr val="000000"/>
      </a:dk1>
      <a:lt1>
        <a:sysClr val="window" lastClr="FFFFFF"/>
      </a:lt1>
      <a:dk2>
        <a:srgbClr val="AEA99A"/>
      </a:dk2>
      <a:lt2>
        <a:srgbClr val="D8CC98"/>
      </a:lt2>
      <a:accent1>
        <a:srgbClr val="173F35"/>
      </a:accent1>
      <a:accent2>
        <a:srgbClr val="002316"/>
      </a:accent2>
      <a:accent3>
        <a:srgbClr val="216644"/>
      </a:accent3>
      <a:accent4>
        <a:srgbClr val="1E988A"/>
      </a:accent4>
      <a:accent5>
        <a:srgbClr val="CEB888"/>
      </a:accent5>
      <a:accent6>
        <a:srgbClr val="AA2C1C"/>
      </a:accent6>
      <a:hlink>
        <a:srgbClr val="173F35"/>
      </a:hlink>
      <a:folHlink>
        <a:srgbClr val="173F3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0" ma:contentTypeDescription="Create a new document." ma:contentTypeScope="" ma:versionID="5e660b6e982774fb34b522693fbc54ea">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b406f33932d9e9646b29ce2e956df74c"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to India"/>
          <xsd:enumeration value="Governance"/>
          <xsd:enumeration value="Invest in Australia"/>
          <xsd:enumeration value="Landing pads"/>
          <xsd:enumeration value="IVS quarterly"/>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ternalName="Product">
      <xsd:simpleType>
        <xsd:union memberTypes="dms:Text">
          <xsd:simpleType>
            <xsd:restriction base="dms:Choice">
              <xsd:enumeration value="AustradeGovAu"/>
              <xsd:enumeration value="CMS"/>
              <xsd:enumeration value="EMP"/>
              <xsd:enumeration value="Governance"/>
              <xsd:enumeration value="Team admin"/>
              <xsd:enumeration value="TRA"/>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0647222-2946-43a9-b085-8543e3fe5c40" xsi:nil="true"/>
    <lcf76f155ced4ddcb4097134ff3c332f xmlns="103968f7-a140-40bc-af5d-e4e4d6db7724">
      <Terms xmlns="http://schemas.microsoft.com/office/infopath/2007/PartnerControls"/>
    </lcf76f155ced4ddcb4097134ff3c332f>
    <EL2_x0020_validator xmlns="103968f7-a140-40bc-af5d-e4e4d6db7724">
      <UserInfo>
        <DisplayName/>
        <AccountId xsi:nil="true"/>
        <AccountType/>
      </UserInfo>
    </EL2_x0020_validator>
    <Subject_x0020_matter_x0020_expert xmlns="103968f7-a140-40bc-af5d-e4e4d6db7724">
      <UserInfo>
        <DisplayName/>
        <AccountId xsi:nil="true"/>
        <AccountType/>
      </UserInfo>
    </Subject_x0020_matter_x0020_expert>
    <Operational_x0020_Description xmlns="103968f7-a140-40bc-af5d-e4e4d6db7724" xsi:nil="true"/>
    <Product xmlns="103968f7-a140-40bc-af5d-e4e4d6db7724">Content management</Product>
    <Content xmlns="103968f7-a140-40bc-af5d-e4e4d6db7724" xsi:nil="true"/>
  </documentManagement>
</p:properties>
</file>

<file path=customXml/itemProps1.xml><?xml version="1.0" encoding="utf-8"?>
<ds:datastoreItem xmlns:ds="http://schemas.openxmlformats.org/officeDocument/2006/customXml" ds:itemID="{3312B97D-E3A9-497F-ABBB-2DC0EE111CF8}">
  <ds:schemaRefs>
    <ds:schemaRef ds:uri="http://schemas.openxmlformats.org/officeDocument/2006/bibliography"/>
  </ds:schemaRefs>
</ds:datastoreItem>
</file>

<file path=customXml/itemProps2.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3.xml><?xml version="1.0" encoding="utf-8"?>
<ds:datastoreItem xmlns:ds="http://schemas.openxmlformats.org/officeDocument/2006/customXml" ds:itemID="{745AB4ED-FDE8-4936-9C9A-3991CAAAA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E75B8-1135-4512-93FA-FCDD832F13E7}">
  <ds:schemaRefs>
    <ds:schemaRef ds:uri="http://www.w3.org/XML/1998/namespace"/>
    <ds:schemaRef ds:uri="http://schemas.microsoft.com/office/2006/documentManagement/types"/>
    <ds:schemaRef ds:uri="103968f7-a140-40bc-af5d-e4e4d6db7724"/>
    <ds:schemaRef ds:uri="http://schemas.microsoft.com/office/infopath/2007/PartnerControls"/>
    <ds:schemaRef ds:uri="http://purl.org/dc/elements/1.1/"/>
    <ds:schemaRef ds:uri="http://purl.org/dc/terms/"/>
    <ds:schemaRef ds:uri="http://schemas.openxmlformats.org/package/2006/metadata/core-properties"/>
    <ds:schemaRef ds:uri="40647222-2946-43a9-b085-8543e3fe5c40"/>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2022-08-18T05:25:00Z</dcterms:created>
  <dcterms:modified xsi:type="dcterms:W3CDTF">2022-08-18T05:25:00Z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88b9502c-3f8a-4026-8045-1aaba0925f53</vt:lpwstr>
  </property>
  <property fmtid="{D5CDD505-2E9C-101B-9397-08002B2CF9AE}" pid="4" name="Protective Markings">
    <vt:lpwstr/>
  </property>
  <property fmtid="{D5CDD505-2E9C-101B-9397-08002B2CF9AE}" pid="5" name="MediaServiceImageTags">
    <vt:lpwstr/>
  </property>
</Properties>
</file>